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E1A3" w14:textId="090931AE" w:rsidR="007C523B" w:rsidRPr="004B30D5" w:rsidRDefault="007C523B" w:rsidP="007C523B">
      <w:pPr>
        <w:rPr>
          <w:rFonts w:cstheme="minorHAnsi"/>
          <w:b/>
          <w:bCs/>
          <w:sz w:val="28"/>
          <w:szCs w:val="28"/>
        </w:rPr>
      </w:pPr>
      <w:r w:rsidRPr="004B30D5">
        <w:rPr>
          <w:rFonts w:cstheme="minorHAnsi"/>
          <w:b/>
          <w:bCs/>
          <w:sz w:val="28"/>
          <w:szCs w:val="28"/>
        </w:rPr>
        <w:t>Admissions Policy</w:t>
      </w:r>
      <w:r w:rsidR="003B359C">
        <w:rPr>
          <w:rFonts w:cstheme="minorHAnsi"/>
          <w:b/>
          <w:bCs/>
          <w:sz w:val="28"/>
          <w:szCs w:val="28"/>
        </w:rPr>
        <w:t xml:space="preserve"> </w:t>
      </w:r>
      <w:r w:rsidR="00270F50">
        <w:rPr>
          <w:rFonts w:cstheme="minorHAnsi"/>
          <w:b/>
          <w:bCs/>
          <w:sz w:val="28"/>
          <w:szCs w:val="28"/>
        </w:rPr>
        <w:t>–</w:t>
      </w:r>
      <w:r w:rsidR="003B359C">
        <w:rPr>
          <w:rFonts w:cstheme="minorHAnsi"/>
          <w:b/>
          <w:bCs/>
          <w:sz w:val="28"/>
          <w:szCs w:val="28"/>
        </w:rPr>
        <w:t xml:space="preserve"> </w:t>
      </w:r>
      <w:r w:rsidR="00270F50">
        <w:rPr>
          <w:rFonts w:cstheme="minorHAnsi"/>
          <w:b/>
          <w:bCs/>
          <w:sz w:val="28"/>
          <w:szCs w:val="28"/>
        </w:rPr>
        <w:t>proposed changes</w:t>
      </w:r>
    </w:p>
    <w:p w14:paraId="48BDF9E7" w14:textId="55D070E8" w:rsidR="007C523B" w:rsidRDefault="00270F50" w:rsidP="007C523B">
      <w:pPr>
        <w:rPr>
          <w:rFonts w:cstheme="minorHAnsi"/>
          <w:sz w:val="24"/>
          <w:szCs w:val="24"/>
        </w:rPr>
      </w:pPr>
      <w:r>
        <w:rPr>
          <w:rFonts w:cstheme="minorHAnsi"/>
          <w:sz w:val="24"/>
          <w:szCs w:val="24"/>
        </w:rPr>
        <w:t xml:space="preserve">South Bank Academies is consulting on its admissions arrangements </w:t>
      </w:r>
      <w:r w:rsidR="00C16344">
        <w:rPr>
          <w:rFonts w:cstheme="minorHAnsi"/>
          <w:sz w:val="24"/>
          <w:szCs w:val="24"/>
        </w:rPr>
        <w:t xml:space="preserve">for </w:t>
      </w:r>
      <w:r w:rsidR="00430F4E">
        <w:rPr>
          <w:rFonts w:cstheme="minorHAnsi"/>
          <w:sz w:val="24"/>
          <w:szCs w:val="24"/>
        </w:rPr>
        <w:t>South Bank UTC</w:t>
      </w:r>
      <w:r w:rsidR="00C16344">
        <w:rPr>
          <w:rFonts w:cstheme="minorHAnsi"/>
          <w:sz w:val="24"/>
          <w:szCs w:val="24"/>
        </w:rPr>
        <w:t xml:space="preserve"> </w:t>
      </w:r>
      <w:r>
        <w:rPr>
          <w:rFonts w:cstheme="minorHAnsi"/>
          <w:sz w:val="24"/>
          <w:szCs w:val="24"/>
        </w:rPr>
        <w:t>from 20</w:t>
      </w:r>
      <w:r w:rsidRPr="00270F50">
        <w:rPr>
          <w:rFonts w:cstheme="minorHAnsi"/>
          <w:sz w:val="24"/>
          <w:szCs w:val="24"/>
          <w:vertAlign w:val="superscript"/>
        </w:rPr>
        <w:t>th</w:t>
      </w:r>
      <w:r>
        <w:rPr>
          <w:rFonts w:cstheme="minorHAnsi"/>
          <w:sz w:val="24"/>
          <w:szCs w:val="24"/>
        </w:rPr>
        <w:t xml:space="preserve"> December 2020 to 31</w:t>
      </w:r>
      <w:r w:rsidRPr="00270F50">
        <w:rPr>
          <w:rFonts w:cstheme="minorHAnsi"/>
          <w:sz w:val="24"/>
          <w:szCs w:val="24"/>
          <w:vertAlign w:val="superscript"/>
        </w:rPr>
        <w:t>st</w:t>
      </w:r>
      <w:r>
        <w:rPr>
          <w:rFonts w:cstheme="minorHAnsi"/>
          <w:sz w:val="24"/>
          <w:szCs w:val="24"/>
        </w:rPr>
        <w:t xml:space="preserve"> January 2021. </w:t>
      </w:r>
    </w:p>
    <w:p w14:paraId="28AD2BF3" w14:textId="77777777" w:rsidR="00702F93" w:rsidRDefault="00702F93" w:rsidP="00702F93">
      <w:pPr>
        <w:shd w:val="clear" w:color="auto" w:fill="FFFFFF"/>
        <w:jc w:val="both"/>
        <w:rPr>
          <w:sz w:val="24"/>
          <w:szCs w:val="24"/>
        </w:rPr>
      </w:pPr>
      <w:r>
        <w:rPr>
          <w:rFonts w:ascii="Calibri" w:eastAsia="Calibri" w:hAnsi="Calibri" w:cs="Calibri"/>
          <w:b/>
          <w:bCs/>
          <w:sz w:val="24"/>
          <w:szCs w:val="24"/>
        </w:rPr>
        <w:t>Consultation</w:t>
      </w:r>
    </w:p>
    <w:p w14:paraId="167BDF86" w14:textId="77777777" w:rsidR="00702F93" w:rsidRDefault="00702F93" w:rsidP="00702F93">
      <w:pPr>
        <w:shd w:val="clear" w:color="auto" w:fill="FFFFFF"/>
        <w:jc w:val="both"/>
        <w:rPr>
          <w:sz w:val="24"/>
          <w:szCs w:val="24"/>
        </w:rPr>
      </w:pPr>
      <w:r>
        <w:rPr>
          <w:rFonts w:ascii="Calibri" w:eastAsia="Calibri" w:hAnsi="Calibri" w:cs="Calibri"/>
          <w:sz w:val="24"/>
          <w:szCs w:val="24"/>
        </w:rPr>
        <w:t>The School Admissions Code 2014 requires all schools to publicly consult on their admissions arrangements;</w:t>
      </w:r>
    </w:p>
    <w:p w14:paraId="293ACDC8" w14:textId="77777777" w:rsidR="00702F93" w:rsidRDefault="00702F93" w:rsidP="00702F93">
      <w:pPr>
        <w:shd w:val="clear" w:color="auto" w:fill="FFFFFF"/>
        <w:spacing w:before="240" w:after="240"/>
        <w:ind w:left="780"/>
        <w:jc w:val="both"/>
        <w:rPr>
          <w:sz w:val="24"/>
          <w:szCs w:val="24"/>
        </w:rPr>
      </w:pPr>
      <w:r>
        <w:rPr>
          <w:rFonts w:ascii="Calibri" w:eastAsia="Calibri" w:hAnsi="Calibri" w:cs="Calibri"/>
          <w:sz w:val="24"/>
          <w:szCs w:val="24"/>
        </w:rPr>
        <w:t>a)     if any significant changes are made</w:t>
      </w:r>
    </w:p>
    <w:p w14:paraId="4FF52AAD" w14:textId="77777777" w:rsidR="00702F93" w:rsidRDefault="00702F93" w:rsidP="00702F93">
      <w:pPr>
        <w:shd w:val="clear" w:color="auto" w:fill="FFFFFF"/>
        <w:ind w:left="780"/>
        <w:jc w:val="both"/>
        <w:rPr>
          <w:sz w:val="24"/>
          <w:szCs w:val="24"/>
        </w:rPr>
      </w:pPr>
      <w:r>
        <w:rPr>
          <w:rFonts w:ascii="Calibri" w:eastAsia="Calibri" w:hAnsi="Calibri" w:cs="Calibri"/>
          <w:sz w:val="24"/>
          <w:szCs w:val="24"/>
        </w:rPr>
        <w:t>or</w:t>
      </w:r>
    </w:p>
    <w:p w14:paraId="0B731175" w14:textId="77777777" w:rsidR="00702F93" w:rsidRDefault="00702F93" w:rsidP="00702F93">
      <w:pPr>
        <w:shd w:val="clear" w:color="auto" w:fill="FFFFFF"/>
        <w:spacing w:before="240" w:after="240"/>
        <w:ind w:left="780"/>
        <w:jc w:val="both"/>
        <w:rPr>
          <w:sz w:val="24"/>
          <w:szCs w:val="24"/>
        </w:rPr>
      </w:pPr>
      <w:r>
        <w:rPr>
          <w:rFonts w:ascii="Calibri" w:eastAsia="Calibri" w:hAnsi="Calibri" w:cs="Calibri"/>
          <w:sz w:val="24"/>
          <w:szCs w:val="24"/>
        </w:rPr>
        <w:t>b)     after a maximum period of seven years, even if no changes have been made.</w:t>
      </w:r>
    </w:p>
    <w:p w14:paraId="58716A7A" w14:textId="38885FCE" w:rsidR="00702F93" w:rsidRDefault="00BE3B0F" w:rsidP="00702F93">
      <w:pPr>
        <w:shd w:val="clear" w:color="auto" w:fill="FFFFFF"/>
        <w:jc w:val="both"/>
        <w:rPr>
          <w:sz w:val="24"/>
          <w:szCs w:val="24"/>
        </w:rPr>
      </w:pPr>
      <w:r>
        <w:rPr>
          <w:rFonts w:ascii="Calibri" w:eastAsia="Calibri" w:hAnsi="Calibri" w:cs="Calibri"/>
          <w:sz w:val="24"/>
          <w:szCs w:val="24"/>
        </w:rPr>
        <w:t>South Bank Academies trust</w:t>
      </w:r>
      <w:r w:rsidR="00702F93">
        <w:rPr>
          <w:rFonts w:ascii="Calibri" w:eastAsia="Calibri" w:hAnsi="Calibri" w:cs="Calibri"/>
          <w:sz w:val="24"/>
          <w:szCs w:val="24"/>
        </w:rPr>
        <w:t xml:space="preserve"> would like to consult on draft admissions arrangements.  </w:t>
      </w:r>
    </w:p>
    <w:p w14:paraId="1F98D3FF" w14:textId="47C8601D" w:rsidR="00702F93" w:rsidRDefault="00BE3B0F" w:rsidP="00702F93">
      <w:pPr>
        <w:shd w:val="clear" w:color="auto" w:fill="FFFFFF"/>
        <w:jc w:val="both"/>
        <w:rPr>
          <w:sz w:val="24"/>
          <w:szCs w:val="24"/>
        </w:rPr>
      </w:pPr>
      <w:r>
        <w:rPr>
          <w:rFonts w:ascii="Calibri" w:eastAsia="Calibri" w:hAnsi="Calibri" w:cs="Calibri"/>
          <w:sz w:val="24"/>
          <w:szCs w:val="24"/>
        </w:rPr>
        <w:t>This document should be read in conjunction with the proposed policy.</w:t>
      </w:r>
      <w:r w:rsidR="004212DF">
        <w:rPr>
          <w:rFonts w:ascii="Calibri" w:eastAsia="Calibri" w:hAnsi="Calibri" w:cs="Calibri"/>
          <w:sz w:val="24"/>
          <w:szCs w:val="24"/>
        </w:rPr>
        <w:t xml:space="preserve"> There </w:t>
      </w:r>
      <w:r w:rsidR="00430F4E">
        <w:rPr>
          <w:rFonts w:ascii="Calibri" w:eastAsia="Calibri" w:hAnsi="Calibri" w:cs="Calibri"/>
          <w:sz w:val="24"/>
          <w:szCs w:val="24"/>
        </w:rPr>
        <w:t>is one substantial change</w:t>
      </w:r>
      <w:r w:rsidR="00DE37E3">
        <w:rPr>
          <w:rFonts w:ascii="Calibri" w:eastAsia="Calibri" w:hAnsi="Calibri" w:cs="Calibri"/>
          <w:sz w:val="24"/>
          <w:szCs w:val="24"/>
        </w:rPr>
        <w:t xml:space="preserve"> in addition to minor changes for clarity and to reflect updated terminology.</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930"/>
        <w:gridCol w:w="4973"/>
      </w:tblGrid>
      <w:tr w:rsidR="00702F93" w14:paraId="285CC176" w14:textId="77777777" w:rsidTr="00430F4E">
        <w:tc>
          <w:tcPr>
            <w:tcW w:w="39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509B381" w14:textId="77777777" w:rsidR="00702F93" w:rsidRDefault="00702F93">
            <w:pPr>
              <w:spacing w:line="240" w:lineRule="auto"/>
              <w:jc w:val="both"/>
              <w:rPr>
                <w:color w:val="000000"/>
                <w:sz w:val="24"/>
                <w:szCs w:val="24"/>
              </w:rPr>
            </w:pPr>
            <w:r>
              <w:rPr>
                <w:rFonts w:ascii="Calibri" w:eastAsia="Calibri" w:hAnsi="Calibri" w:cs="Calibri"/>
                <w:color w:val="000000"/>
                <w:sz w:val="24"/>
                <w:szCs w:val="24"/>
              </w:rPr>
              <w:t>Original Admissions Arrangements</w:t>
            </w:r>
          </w:p>
        </w:tc>
        <w:tc>
          <w:tcPr>
            <w:tcW w:w="497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383BD9" w14:textId="77777777" w:rsidR="00702F93" w:rsidRDefault="00702F93">
            <w:pPr>
              <w:spacing w:line="240" w:lineRule="auto"/>
              <w:jc w:val="both"/>
              <w:rPr>
                <w:color w:val="000000"/>
                <w:sz w:val="24"/>
                <w:szCs w:val="24"/>
              </w:rPr>
            </w:pPr>
            <w:r>
              <w:rPr>
                <w:rFonts w:ascii="Calibri" w:eastAsia="Calibri" w:hAnsi="Calibri" w:cs="Calibri"/>
                <w:color w:val="000000"/>
                <w:sz w:val="24"/>
                <w:szCs w:val="24"/>
              </w:rPr>
              <w:t>Proposed Changes</w:t>
            </w:r>
          </w:p>
        </w:tc>
      </w:tr>
      <w:tr w:rsidR="00702F93" w14:paraId="0487C3A4" w14:textId="77777777" w:rsidTr="00430F4E">
        <w:tc>
          <w:tcPr>
            <w:tcW w:w="39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4880CD3" w14:textId="610E2AE1" w:rsidR="00702F93" w:rsidRDefault="007676E2" w:rsidP="007676E2">
            <w:pPr>
              <w:spacing w:after="0" w:line="240" w:lineRule="auto"/>
              <w:jc w:val="both"/>
              <w:rPr>
                <w:rFonts w:eastAsia="Arial" w:cstheme="minorHAnsi"/>
                <w:color w:val="000000"/>
                <w:sz w:val="24"/>
                <w:szCs w:val="24"/>
              </w:rPr>
            </w:pPr>
            <w:r>
              <w:rPr>
                <w:rFonts w:eastAsia="Arial" w:cstheme="minorHAnsi"/>
                <w:color w:val="000000"/>
                <w:sz w:val="24"/>
                <w:szCs w:val="24"/>
              </w:rPr>
              <w:t xml:space="preserve">PAN of </w:t>
            </w:r>
            <w:r w:rsidR="00902B48">
              <w:rPr>
                <w:rFonts w:eastAsia="Arial" w:cstheme="minorHAnsi"/>
                <w:color w:val="000000"/>
                <w:sz w:val="24"/>
                <w:szCs w:val="24"/>
              </w:rPr>
              <w:t>150</w:t>
            </w:r>
            <w:r>
              <w:rPr>
                <w:rFonts w:eastAsia="Arial" w:cstheme="minorHAnsi"/>
                <w:color w:val="000000"/>
                <w:sz w:val="24"/>
                <w:szCs w:val="24"/>
              </w:rPr>
              <w:t xml:space="preserve"> in each of Years 10 and 11</w:t>
            </w:r>
          </w:p>
          <w:p w14:paraId="2A2FE627" w14:textId="5DD1B9D9" w:rsidR="007676E2" w:rsidRPr="0053003F" w:rsidRDefault="007676E2" w:rsidP="007676E2">
            <w:pPr>
              <w:spacing w:after="0" w:line="240" w:lineRule="auto"/>
              <w:jc w:val="both"/>
              <w:rPr>
                <w:rFonts w:eastAsia="Arial" w:cstheme="minorHAnsi"/>
                <w:color w:val="000000"/>
                <w:sz w:val="24"/>
                <w:szCs w:val="24"/>
              </w:rPr>
            </w:pPr>
            <w:r>
              <w:rPr>
                <w:rFonts w:eastAsia="Arial" w:cstheme="minorHAnsi"/>
                <w:color w:val="000000"/>
                <w:sz w:val="24"/>
                <w:szCs w:val="24"/>
              </w:rPr>
              <w:t>PAN of 150 in each of Years 12 and 13</w:t>
            </w:r>
          </w:p>
        </w:tc>
        <w:tc>
          <w:tcPr>
            <w:tcW w:w="497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D143C50" w14:textId="0BCC943E" w:rsidR="007676E2" w:rsidRDefault="007676E2" w:rsidP="00BE3B0F">
            <w:pPr>
              <w:spacing w:after="0" w:line="240" w:lineRule="auto"/>
              <w:jc w:val="both"/>
              <w:rPr>
                <w:rFonts w:cstheme="minorHAnsi"/>
                <w:sz w:val="24"/>
                <w:szCs w:val="24"/>
              </w:rPr>
            </w:pPr>
            <w:r>
              <w:rPr>
                <w:rFonts w:cstheme="minorHAnsi"/>
                <w:sz w:val="24"/>
                <w:szCs w:val="24"/>
              </w:rPr>
              <w:t>PAN of 60 in each of Years 10 and 11</w:t>
            </w:r>
          </w:p>
          <w:p w14:paraId="562C8218" w14:textId="37584E24" w:rsidR="007676E2" w:rsidRDefault="007676E2" w:rsidP="00BE3B0F">
            <w:pP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PAN of 160 in each of Years 12 and 13</w:t>
            </w:r>
          </w:p>
        </w:tc>
      </w:tr>
    </w:tbl>
    <w:p w14:paraId="58C3E461" w14:textId="77777777" w:rsidR="00702F93" w:rsidRDefault="00702F93" w:rsidP="00702F93">
      <w:pPr>
        <w:shd w:val="clear" w:color="auto" w:fill="FFFFFF"/>
        <w:jc w:val="both"/>
        <w:rPr>
          <w:rFonts w:ascii="Arial" w:eastAsia="Arial" w:hAnsi="Arial" w:cs="Arial"/>
          <w:sz w:val="24"/>
          <w:szCs w:val="24"/>
          <w:lang w:val="en-US"/>
        </w:rPr>
      </w:pPr>
    </w:p>
    <w:p w14:paraId="6E1D46BC" w14:textId="3126FAB3" w:rsidR="00702F93" w:rsidRDefault="00702F93" w:rsidP="00702F93">
      <w:pPr>
        <w:shd w:val="clear" w:color="auto" w:fill="FFFFFF"/>
        <w:jc w:val="both"/>
        <w:rPr>
          <w:sz w:val="24"/>
          <w:szCs w:val="24"/>
        </w:rPr>
      </w:pPr>
      <w:r>
        <w:rPr>
          <w:rFonts w:ascii="Calibri" w:eastAsia="Calibri" w:hAnsi="Calibri" w:cs="Calibri"/>
          <w:b/>
          <w:bCs/>
          <w:sz w:val="24"/>
          <w:szCs w:val="24"/>
        </w:rPr>
        <w:t>The draft documents can be viewed on our website www.</w:t>
      </w:r>
      <w:r w:rsidR="007676E2">
        <w:rPr>
          <w:rFonts w:ascii="Calibri" w:eastAsia="Calibri" w:hAnsi="Calibri" w:cs="Calibri"/>
          <w:b/>
          <w:bCs/>
          <w:sz w:val="24"/>
          <w:szCs w:val="24"/>
        </w:rPr>
        <w:t>southbank-utc.co.uk</w:t>
      </w:r>
      <w:r>
        <w:rPr>
          <w:rFonts w:ascii="Calibri" w:eastAsia="Calibri" w:hAnsi="Calibri" w:cs="Calibri"/>
          <w:b/>
          <w:bCs/>
          <w:sz w:val="24"/>
          <w:szCs w:val="24"/>
        </w:rPr>
        <w:t>.</w:t>
      </w:r>
      <w:r>
        <w:rPr>
          <w:rFonts w:ascii="Calibri" w:eastAsia="Calibri" w:hAnsi="Calibri" w:cs="Calibri"/>
          <w:sz w:val="24"/>
          <w:szCs w:val="24"/>
        </w:rPr>
        <w:t xml:space="preserve"> The purpose of the amendments are for clarity and simplicity to make the policy easier for parents to understand and  to set out the procedure clearly which must be followed by parents.</w:t>
      </w:r>
    </w:p>
    <w:p w14:paraId="5FD702CD" w14:textId="01FC461C" w:rsidR="00702F93" w:rsidRPr="00D259C4" w:rsidRDefault="00702F93" w:rsidP="00702F93">
      <w:pPr>
        <w:shd w:val="clear" w:color="auto" w:fill="FFFFFF"/>
        <w:jc w:val="both"/>
        <w:rPr>
          <w:rFonts w:cstheme="minorHAnsi"/>
          <w:sz w:val="24"/>
          <w:szCs w:val="24"/>
        </w:rPr>
      </w:pPr>
      <w:r w:rsidRPr="00D259C4">
        <w:rPr>
          <w:rFonts w:eastAsia="Georgia" w:cstheme="minorHAnsi"/>
          <w:color w:val="201F1E"/>
          <w:sz w:val="24"/>
          <w:szCs w:val="24"/>
        </w:rPr>
        <w:t xml:space="preserve"> Should you wish to comment on the existing policy, please let us know by sending us feedback, using one of the methods below.</w:t>
      </w:r>
    </w:p>
    <w:p w14:paraId="6B706FE8" w14:textId="7902C346" w:rsidR="00702F93" w:rsidRDefault="00702F93" w:rsidP="00702F93">
      <w:pPr>
        <w:shd w:val="clear" w:color="auto" w:fill="FFFFFF"/>
        <w:jc w:val="both"/>
        <w:rPr>
          <w:sz w:val="24"/>
          <w:szCs w:val="24"/>
        </w:rPr>
      </w:pPr>
      <w:r>
        <w:rPr>
          <w:rFonts w:ascii="Georgia" w:eastAsia="Georgia" w:hAnsi="Georgia" w:cs="Georgia"/>
          <w:b/>
          <w:bCs/>
          <w:sz w:val="24"/>
          <w:szCs w:val="24"/>
        </w:rPr>
        <w:t xml:space="preserve"> </w:t>
      </w:r>
      <w:r>
        <w:rPr>
          <w:rFonts w:ascii="Calibri" w:eastAsia="Calibri" w:hAnsi="Calibri" w:cs="Calibri"/>
          <w:b/>
          <w:bCs/>
          <w:sz w:val="24"/>
          <w:szCs w:val="24"/>
        </w:rPr>
        <w:t>Submitting Feedback</w:t>
      </w:r>
    </w:p>
    <w:p w14:paraId="5381FC0F" w14:textId="3CE5C483" w:rsidR="00702F93" w:rsidRDefault="00702F93" w:rsidP="00702F93">
      <w:pPr>
        <w:shd w:val="clear" w:color="auto" w:fill="FFFFFF"/>
        <w:jc w:val="both"/>
        <w:rPr>
          <w:sz w:val="24"/>
          <w:szCs w:val="24"/>
        </w:rPr>
      </w:pPr>
      <w:r>
        <w:rPr>
          <w:rFonts w:ascii="Calibri" w:eastAsia="Calibri" w:hAnsi="Calibri" w:cs="Calibri"/>
          <w:sz w:val="24"/>
          <w:szCs w:val="24"/>
        </w:rPr>
        <w:t>Comments should be submitted either by email</w:t>
      </w:r>
      <w:r w:rsidR="00D259C4">
        <w:rPr>
          <w:rFonts w:ascii="Calibri" w:eastAsia="Calibri" w:hAnsi="Calibri" w:cs="Calibri"/>
          <w:sz w:val="24"/>
          <w:szCs w:val="24"/>
        </w:rPr>
        <w:t xml:space="preserve"> or</w:t>
      </w:r>
      <w:r>
        <w:rPr>
          <w:rFonts w:ascii="Calibri" w:eastAsia="Calibri" w:hAnsi="Calibri" w:cs="Calibri"/>
          <w:sz w:val="24"/>
          <w:szCs w:val="24"/>
        </w:rPr>
        <w:t xml:space="preserve"> post to:</w:t>
      </w:r>
    </w:p>
    <w:p w14:paraId="3B2B051F" w14:textId="57A2CFCC" w:rsidR="00702F93" w:rsidRDefault="007676E2" w:rsidP="00702F93">
      <w:pPr>
        <w:shd w:val="clear" w:color="auto" w:fill="FFFFFF"/>
        <w:jc w:val="both"/>
        <w:rPr>
          <w:sz w:val="24"/>
          <w:szCs w:val="24"/>
        </w:rPr>
      </w:pPr>
      <w:r>
        <w:rPr>
          <w:rFonts w:ascii="Calibri" w:eastAsia="Calibri" w:hAnsi="Calibri" w:cs="Calibri"/>
          <w:b/>
          <w:bCs/>
          <w:sz w:val="24"/>
          <w:szCs w:val="24"/>
        </w:rPr>
        <w:t>Contact</w:t>
      </w:r>
      <w:r w:rsidR="00702F93">
        <w:rPr>
          <w:rFonts w:ascii="Calibri" w:eastAsia="Calibri" w:hAnsi="Calibri" w:cs="Calibri"/>
          <w:b/>
          <w:bCs/>
          <w:sz w:val="24"/>
          <w:szCs w:val="24"/>
        </w:rPr>
        <w:t>:</w:t>
      </w:r>
      <w:r>
        <w:rPr>
          <w:rFonts w:ascii="Calibri" w:eastAsia="Calibri" w:hAnsi="Calibri" w:cs="Calibri"/>
          <w:b/>
          <w:bCs/>
          <w:sz w:val="24"/>
          <w:szCs w:val="24"/>
        </w:rPr>
        <w:tab/>
        <w:t xml:space="preserve">        </w:t>
      </w:r>
      <w:r w:rsidR="00702F93">
        <w:rPr>
          <w:rFonts w:ascii="Calibri" w:eastAsia="Calibri" w:hAnsi="Calibri" w:cs="Calibri"/>
          <w:b/>
          <w:bCs/>
          <w:sz w:val="24"/>
          <w:szCs w:val="24"/>
        </w:rPr>
        <w:t xml:space="preserve">      </w:t>
      </w:r>
      <w:r>
        <w:rPr>
          <w:rFonts w:ascii="Calibri" w:eastAsia="Calibri" w:hAnsi="Calibri" w:cs="Calibri"/>
          <w:b/>
          <w:bCs/>
          <w:sz w:val="24"/>
          <w:szCs w:val="24"/>
        </w:rPr>
        <w:t xml:space="preserve">  Mr E Spiers</w:t>
      </w:r>
      <w:r w:rsidR="00702F93">
        <w:rPr>
          <w:rFonts w:ascii="Calibri" w:eastAsia="Calibri" w:hAnsi="Calibri" w:cs="Calibri"/>
          <w:b/>
          <w:bCs/>
          <w:sz w:val="24"/>
          <w:szCs w:val="24"/>
        </w:rPr>
        <w:t xml:space="preserve">   </w:t>
      </w:r>
    </w:p>
    <w:p w14:paraId="7C7050B2" w14:textId="6CE67CB0" w:rsidR="00702F93" w:rsidRDefault="00702F93" w:rsidP="00702F93">
      <w:pPr>
        <w:shd w:val="clear" w:color="auto" w:fill="FFFFFF"/>
        <w:jc w:val="both"/>
        <w:rPr>
          <w:sz w:val="24"/>
          <w:szCs w:val="24"/>
        </w:rPr>
      </w:pPr>
      <w:r>
        <w:rPr>
          <w:rFonts w:ascii="Calibri" w:eastAsia="Calibri" w:hAnsi="Calibri" w:cs="Calibri"/>
          <w:b/>
          <w:bCs/>
          <w:sz w:val="24"/>
          <w:szCs w:val="24"/>
        </w:rPr>
        <w:t xml:space="preserve">Email:                                </w:t>
      </w:r>
      <w:hyperlink r:id="rId11" w:history="1">
        <w:r w:rsidR="007676E2" w:rsidRPr="0023699E">
          <w:rPr>
            <w:rStyle w:val="Hyperlink"/>
            <w:rFonts w:ascii="Calibri" w:eastAsia="Calibri" w:hAnsi="Calibri" w:cs="Calibri"/>
            <w:b/>
            <w:bCs/>
            <w:sz w:val="24"/>
            <w:szCs w:val="24"/>
          </w:rPr>
          <w:t>elliot.spiers@southbank-utc.co.uk</w:t>
        </w:r>
      </w:hyperlink>
      <w:r>
        <w:rPr>
          <w:rFonts w:ascii="Calibri" w:eastAsia="Calibri" w:hAnsi="Calibri" w:cs="Calibri"/>
          <w:b/>
          <w:bCs/>
          <w:sz w:val="24"/>
          <w:szCs w:val="24"/>
        </w:rPr>
        <w:t xml:space="preserve">  </w:t>
      </w:r>
    </w:p>
    <w:p w14:paraId="5AC95D8C" w14:textId="7BB7727E" w:rsidR="00702F93" w:rsidRDefault="00702F93" w:rsidP="007676E2">
      <w:pPr>
        <w:shd w:val="clear" w:color="auto" w:fill="FFFFFF"/>
        <w:jc w:val="both"/>
        <w:rPr>
          <w:sz w:val="24"/>
          <w:szCs w:val="24"/>
        </w:rPr>
      </w:pPr>
      <w:r>
        <w:rPr>
          <w:rFonts w:ascii="Calibri" w:eastAsia="Calibri" w:hAnsi="Calibri" w:cs="Calibri"/>
          <w:b/>
          <w:bCs/>
          <w:sz w:val="24"/>
          <w:szCs w:val="24"/>
        </w:rPr>
        <w:t xml:space="preserve">Post:                                  </w:t>
      </w:r>
      <w:r w:rsidR="007676E2">
        <w:rPr>
          <w:b/>
          <w:bCs/>
          <w:sz w:val="24"/>
          <w:szCs w:val="24"/>
        </w:rPr>
        <w:t>South Bank UTC, 56 Brixton Hill, London SW2 1QS</w:t>
      </w:r>
    </w:p>
    <w:p w14:paraId="4FE6569F" w14:textId="10032AFE" w:rsidR="00702F93" w:rsidRDefault="00702F93" w:rsidP="00702F93">
      <w:pPr>
        <w:shd w:val="clear" w:color="auto" w:fill="FFFFFF"/>
        <w:jc w:val="both"/>
        <w:rPr>
          <w:sz w:val="24"/>
          <w:szCs w:val="24"/>
        </w:rPr>
      </w:pPr>
      <w:r>
        <w:rPr>
          <w:rFonts w:ascii="Calibri" w:eastAsia="Calibri" w:hAnsi="Calibri" w:cs="Calibri"/>
          <w:sz w:val="24"/>
          <w:szCs w:val="24"/>
        </w:rPr>
        <w:lastRenderedPageBreak/>
        <w:t>Correspondence should be headed “</w:t>
      </w:r>
      <w:r w:rsidR="007676E2">
        <w:rPr>
          <w:rFonts w:ascii="Calibri" w:eastAsia="Calibri" w:hAnsi="Calibri" w:cs="Calibri"/>
          <w:b/>
          <w:bCs/>
          <w:sz w:val="24"/>
          <w:szCs w:val="24"/>
        </w:rPr>
        <w:t>South Bank UTC</w:t>
      </w:r>
      <w:r>
        <w:rPr>
          <w:rFonts w:ascii="Calibri" w:eastAsia="Calibri" w:hAnsi="Calibri" w:cs="Calibri"/>
          <w:sz w:val="24"/>
          <w:szCs w:val="24"/>
        </w:rPr>
        <w:t xml:space="preserve"> </w:t>
      </w:r>
      <w:r>
        <w:rPr>
          <w:rFonts w:ascii="Calibri" w:eastAsia="Calibri" w:hAnsi="Calibri" w:cs="Calibri"/>
          <w:b/>
          <w:bCs/>
          <w:sz w:val="24"/>
          <w:szCs w:val="24"/>
        </w:rPr>
        <w:t>Admissions Consultation”</w:t>
      </w:r>
      <w:r>
        <w:rPr>
          <w:rFonts w:ascii="Calibri" w:eastAsia="Calibri" w:hAnsi="Calibri" w:cs="Calibri"/>
          <w:sz w:val="24"/>
          <w:szCs w:val="24"/>
        </w:rPr>
        <w:t>.</w:t>
      </w:r>
    </w:p>
    <w:p w14:paraId="5ECC69F9" w14:textId="524DA7E4" w:rsidR="00702F93" w:rsidRDefault="00702F93" w:rsidP="00702F93">
      <w:pPr>
        <w:shd w:val="clear" w:color="auto" w:fill="FFFFFF"/>
        <w:jc w:val="both"/>
        <w:rPr>
          <w:sz w:val="24"/>
          <w:szCs w:val="24"/>
        </w:rPr>
      </w:pPr>
      <w:r>
        <w:rPr>
          <w:rFonts w:ascii="Calibri" w:eastAsia="Calibri" w:hAnsi="Calibri" w:cs="Calibri"/>
          <w:sz w:val="24"/>
          <w:szCs w:val="24"/>
        </w:rPr>
        <w:t xml:space="preserve">Consultation closes on </w:t>
      </w:r>
      <w:r w:rsidR="008C16EF">
        <w:rPr>
          <w:rFonts w:ascii="Calibri" w:eastAsia="Calibri" w:hAnsi="Calibri" w:cs="Calibri"/>
          <w:b/>
          <w:bCs/>
          <w:sz w:val="24"/>
          <w:szCs w:val="24"/>
          <w:u w:val="single"/>
          <w:shd w:val="clear" w:color="auto" w:fill="FFFF00"/>
        </w:rPr>
        <w:t>31st</w:t>
      </w:r>
      <w:r>
        <w:rPr>
          <w:rFonts w:ascii="Calibri" w:eastAsia="Calibri" w:hAnsi="Calibri" w:cs="Calibri"/>
          <w:b/>
          <w:bCs/>
          <w:sz w:val="24"/>
          <w:szCs w:val="24"/>
          <w:u w:val="single"/>
          <w:shd w:val="clear" w:color="auto" w:fill="FFFF00"/>
        </w:rPr>
        <w:t xml:space="preserve"> January 2021</w:t>
      </w:r>
      <w:r w:rsidR="008C16EF">
        <w:rPr>
          <w:rFonts w:ascii="Calibri" w:eastAsia="Calibri" w:hAnsi="Calibri" w:cs="Calibri"/>
          <w:b/>
          <w:bCs/>
          <w:sz w:val="24"/>
          <w:szCs w:val="24"/>
          <w:u w:val="single"/>
          <w:shd w:val="clear" w:color="auto" w:fill="FFFF00"/>
        </w:rPr>
        <w:t>;</w:t>
      </w:r>
      <w:r>
        <w:rPr>
          <w:rFonts w:ascii="Calibri" w:eastAsia="Calibri" w:hAnsi="Calibri" w:cs="Calibri"/>
          <w:sz w:val="24"/>
          <w:szCs w:val="24"/>
        </w:rPr>
        <w:t xml:space="preserve"> all comments should be received by this date.</w:t>
      </w:r>
    </w:p>
    <w:p w14:paraId="2281AF61" w14:textId="6E840854" w:rsidR="00702F93" w:rsidRDefault="00702F93" w:rsidP="00702F93">
      <w:pPr>
        <w:shd w:val="clear" w:color="auto" w:fill="FFFFFF"/>
        <w:jc w:val="both"/>
        <w:rPr>
          <w:sz w:val="24"/>
          <w:szCs w:val="24"/>
        </w:rPr>
      </w:pPr>
      <w:r>
        <w:rPr>
          <w:rFonts w:ascii="Calibri" w:eastAsia="Calibri" w:hAnsi="Calibri" w:cs="Calibri"/>
          <w:sz w:val="24"/>
          <w:szCs w:val="24"/>
        </w:rPr>
        <w:t xml:space="preserve"> </w:t>
      </w:r>
      <w:r>
        <w:rPr>
          <w:rFonts w:ascii="Calibri" w:eastAsia="Calibri" w:hAnsi="Calibri" w:cs="Calibri"/>
          <w:b/>
          <w:bCs/>
          <w:sz w:val="24"/>
          <w:szCs w:val="24"/>
        </w:rPr>
        <w:t>Next Steps</w:t>
      </w:r>
    </w:p>
    <w:p w14:paraId="6431EB70" w14:textId="12A7A24C" w:rsidR="00702F93" w:rsidRDefault="00702F93" w:rsidP="00702F93">
      <w:pPr>
        <w:shd w:val="clear" w:color="auto" w:fill="FFFFFF"/>
        <w:jc w:val="both"/>
        <w:rPr>
          <w:sz w:val="24"/>
          <w:szCs w:val="24"/>
        </w:rPr>
      </w:pPr>
      <w:r>
        <w:rPr>
          <w:rFonts w:ascii="Calibri" w:eastAsia="Calibri" w:hAnsi="Calibri" w:cs="Calibri"/>
          <w:sz w:val="24"/>
          <w:szCs w:val="24"/>
        </w:rPr>
        <w:t>Once public consultation has closed, South Bank Academies Trust (the admissions authority for South Bank</w:t>
      </w:r>
      <w:r w:rsidR="007676E2">
        <w:rPr>
          <w:rFonts w:ascii="Calibri" w:eastAsia="Calibri" w:hAnsi="Calibri" w:cs="Calibri"/>
          <w:sz w:val="24"/>
          <w:szCs w:val="24"/>
        </w:rPr>
        <w:t xml:space="preserve"> UTC</w:t>
      </w:r>
      <w:r>
        <w:rPr>
          <w:rFonts w:ascii="Calibri" w:eastAsia="Calibri" w:hAnsi="Calibri" w:cs="Calibri"/>
          <w:sz w:val="24"/>
          <w:szCs w:val="24"/>
        </w:rPr>
        <w:t xml:space="preserve">) will consider all feedback to the proposed admissions arrangements and make recommendations for final changes, where relevant. The final admissions arrangements will be determined by </w:t>
      </w:r>
      <w:r w:rsidR="008C16EF">
        <w:rPr>
          <w:rFonts w:ascii="Calibri" w:eastAsia="Calibri" w:hAnsi="Calibri" w:cs="Calibri"/>
          <w:sz w:val="24"/>
          <w:szCs w:val="24"/>
        </w:rPr>
        <w:t xml:space="preserve">South Bank Academies </w:t>
      </w:r>
      <w:r>
        <w:rPr>
          <w:rFonts w:ascii="Calibri" w:eastAsia="Calibri" w:hAnsi="Calibri" w:cs="Calibri"/>
          <w:sz w:val="24"/>
          <w:szCs w:val="24"/>
        </w:rPr>
        <w:t>before 28</w:t>
      </w:r>
      <w:r>
        <w:rPr>
          <w:rFonts w:ascii="Calibri" w:eastAsia="Calibri" w:hAnsi="Calibri" w:cs="Calibri"/>
          <w:sz w:val="24"/>
          <w:szCs w:val="24"/>
          <w:vertAlign w:val="superscript"/>
        </w:rPr>
        <w:t>th</w:t>
      </w:r>
      <w:r>
        <w:rPr>
          <w:rFonts w:ascii="Calibri" w:eastAsia="Calibri" w:hAnsi="Calibri" w:cs="Calibri"/>
          <w:sz w:val="24"/>
          <w:szCs w:val="24"/>
        </w:rPr>
        <w:t xml:space="preserve"> February 2021 and published on the </w:t>
      </w:r>
      <w:r w:rsidR="007676E2">
        <w:rPr>
          <w:rFonts w:ascii="Calibri" w:eastAsia="Calibri" w:hAnsi="Calibri" w:cs="Calibri"/>
          <w:sz w:val="24"/>
          <w:szCs w:val="24"/>
        </w:rPr>
        <w:t>UTC</w:t>
      </w:r>
      <w:r>
        <w:rPr>
          <w:rFonts w:ascii="Calibri" w:eastAsia="Calibri" w:hAnsi="Calibri" w:cs="Calibri"/>
          <w:sz w:val="24"/>
          <w:szCs w:val="24"/>
        </w:rPr>
        <w:t xml:space="preserve"> website.</w:t>
      </w:r>
    </w:p>
    <w:p w14:paraId="51587DAE" w14:textId="77777777" w:rsidR="00702F93" w:rsidRPr="004B30D5" w:rsidRDefault="00702F93" w:rsidP="007C523B">
      <w:pPr>
        <w:rPr>
          <w:rFonts w:cstheme="minorHAnsi"/>
          <w:sz w:val="24"/>
          <w:szCs w:val="24"/>
        </w:rPr>
      </w:pPr>
    </w:p>
    <w:sectPr w:rsidR="00702F93" w:rsidRPr="004B30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541E" w14:textId="77777777" w:rsidR="007C523B" w:rsidRDefault="007C523B" w:rsidP="007C523B">
      <w:pPr>
        <w:spacing w:after="0" w:line="240" w:lineRule="auto"/>
      </w:pPr>
      <w:r>
        <w:separator/>
      </w:r>
    </w:p>
  </w:endnote>
  <w:endnote w:type="continuationSeparator" w:id="0">
    <w:p w14:paraId="10FBB829" w14:textId="77777777" w:rsidR="007C523B" w:rsidRDefault="007C523B" w:rsidP="007C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362829"/>
      <w:docPartObj>
        <w:docPartGallery w:val="Page Numbers (Bottom of Page)"/>
        <w:docPartUnique/>
      </w:docPartObj>
    </w:sdtPr>
    <w:sdtEndPr/>
    <w:sdtContent>
      <w:sdt>
        <w:sdtPr>
          <w:id w:val="-1769616900"/>
          <w:docPartObj>
            <w:docPartGallery w:val="Page Numbers (Top of Page)"/>
            <w:docPartUnique/>
          </w:docPartObj>
        </w:sdtPr>
        <w:sdtEndPr/>
        <w:sdtContent>
          <w:p w14:paraId="28936399" w14:textId="0612C557" w:rsidR="001C5D4A" w:rsidRDefault="001C5D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A8D962" w14:textId="4DD220EC" w:rsidR="007C6B08" w:rsidRPr="001C5D4A" w:rsidRDefault="007C6B08" w:rsidP="001C5D4A">
    <w:pPr>
      <w:pStyle w:val="Foote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BB75" w14:textId="77777777" w:rsidR="007C523B" w:rsidRDefault="007C523B" w:rsidP="007C523B">
      <w:pPr>
        <w:spacing w:after="0" w:line="240" w:lineRule="auto"/>
      </w:pPr>
      <w:r>
        <w:separator/>
      </w:r>
    </w:p>
  </w:footnote>
  <w:footnote w:type="continuationSeparator" w:id="0">
    <w:p w14:paraId="78294C87" w14:textId="77777777" w:rsidR="007C523B" w:rsidRDefault="007C523B" w:rsidP="007C5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F219" w14:textId="77777777" w:rsidR="00430F4E" w:rsidRDefault="007C523B" w:rsidP="003B1407">
    <w:pPr>
      <w:pStyle w:val="Header"/>
      <w:jc w:val="right"/>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003B1407">
      <w:rPr>
        <w:rFonts w:ascii="Arial" w:hAnsi="Arial" w:cs="Arial"/>
        <w:b/>
        <w:bCs/>
        <w:sz w:val="32"/>
        <w:szCs w:val="32"/>
      </w:rPr>
      <w:t>South Bank UTC</w:t>
    </w:r>
  </w:p>
  <w:p w14:paraId="6688EF91" w14:textId="1CB411FE" w:rsidR="007C523B" w:rsidRDefault="00430F4E" w:rsidP="003B1407">
    <w:pPr>
      <w:pStyle w:val="Header"/>
      <w:jc w:val="right"/>
      <w:rPr>
        <w:rFonts w:ascii="Arial" w:hAnsi="Arial" w:cs="Arial"/>
        <w:b/>
        <w:bCs/>
        <w:sz w:val="32"/>
        <w:szCs w:val="32"/>
      </w:rPr>
    </w:pPr>
    <w:r>
      <w:rPr>
        <w:b/>
        <w:bCs/>
        <w:noProof/>
        <w:sz w:val="36"/>
        <w:szCs w:val="36"/>
      </w:rPr>
      <w:drawing>
        <wp:inline distT="0" distB="0" distL="0" distR="0" wp14:anchorId="68DAF00C" wp14:editId="5DEAA03E">
          <wp:extent cx="2733675" cy="794420"/>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7090" cy="812849"/>
                  </a:xfrm>
                  <a:prstGeom prst="rect">
                    <a:avLst/>
                  </a:prstGeom>
                </pic:spPr>
              </pic:pic>
            </a:graphicData>
          </a:graphic>
        </wp:inline>
      </w:drawing>
    </w:r>
  </w:p>
  <w:p w14:paraId="5B00D210" w14:textId="678894E5" w:rsidR="007C523B" w:rsidRDefault="007C523B">
    <w:pPr>
      <w:pStyle w:val="Header"/>
      <w:rPr>
        <w:rFonts w:ascii="Arial" w:hAnsi="Arial" w:cs="Arial"/>
        <w:b/>
        <w:bCs/>
        <w:sz w:val="32"/>
        <w:szCs w:val="32"/>
      </w:rPr>
    </w:pPr>
  </w:p>
  <w:p w14:paraId="05EF2ABC" w14:textId="77777777" w:rsidR="007C523B" w:rsidRPr="007C523B" w:rsidRDefault="007C523B">
    <w:pPr>
      <w:pStyle w:val="Header"/>
      <w:rPr>
        <w:rFonts w:ascii="Arial" w:hAnsi="Arial" w:cs="Arial"/>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940627"/>
    <w:multiLevelType w:val="hybridMultilevel"/>
    <w:tmpl w:val="3F9E16B0"/>
    <w:lvl w:ilvl="0" w:tplc="C300853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0792F"/>
    <w:multiLevelType w:val="hybridMultilevel"/>
    <w:tmpl w:val="1FB487F4"/>
    <w:lvl w:ilvl="0" w:tplc="4FA4C4E2">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C16F8"/>
    <w:multiLevelType w:val="hybridMultilevel"/>
    <w:tmpl w:val="BA167B50"/>
    <w:lvl w:ilvl="0" w:tplc="4FA4C4E2">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860E2"/>
    <w:multiLevelType w:val="hybridMultilevel"/>
    <w:tmpl w:val="187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4182E"/>
    <w:multiLevelType w:val="hybridMultilevel"/>
    <w:tmpl w:val="8B245E5C"/>
    <w:lvl w:ilvl="0" w:tplc="4FA4C4E2">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0415E"/>
    <w:multiLevelType w:val="hybridMultilevel"/>
    <w:tmpl w:val="EDC89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3B"/>
    <w:rsid w:val="00014C88"/>
    <w:rsid w:val="001C5D4A"/>
    <w:rsid w:val="00270F50"/>
    <w:rsid w:val="00277B15"/>
    <w:rsid w:val="002925C1"/>
    <w:rsid w:val="003B1407"/>
    <w:rsid w:val="003B359C"/>
    <w:rsid w:val="004212DF"/>
    <w:rsid w:val="00426DD3"/>
    <w:rsid w:val="00430F4E"/>
    <w:rsid w:val="0044193C"/>
    <w:rsid w:val="004B30D5"/>
    <w:rsid w:val="0053003F"/>
    <w:rsid w:val="0059111E"/>
    <w:rsid w:val="00702F93"/>
    <w:rsid w:val="007676E2"/>
    <w:rsid w:val="0078783D"/>
    <w:rsid w:val="007C523B"/>
    <w:rsid w:val="007C6B08"/>
    <w:rsid w:val="00801737"/>
    <w:rsid w:val="00857182"/>
    <w:rsid w:val="008C16EF"/>
    <w:rsid w:val="008F4886"/>
    <w:rsid w:val="00902B48"/>
    <w:rsid w:val="009C7C0E"/>
    <w:rsid w:val="00A7671B"/>
    <w:rsid w:val="00B63ACC"/>
    <w:rsid w:val="00BE3B0F"/>
    <w:rsid w:val="00C04F91"/>
    <w:rsid w:val="00C16344"/>
    <w:rsid w:val="00D259C4"/>
    <w:rsid w:val="00DE37E3"/>
    <w:rsid w:val="00EA4A35"/>
    <w:rsid w:val="00FC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192B9"/>
  <w15:chartTrackingRefBased/>
  <w15:docId w15:val="{06E70DC9-FC65-4C49-8009-0DD0DA14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23B"/>
  </w:style>
  <w:style w:type="paragraph" w:styleId="Footer">
    <w:name w:val="footer"/>
    <w:basedOn w:val="Normal"/>
    <w:link w:val="FooterChar"/>
    <w:uiPriority w:val="99"/>
    <w:unhideWhenUsed/>
    <w:rsid w:val="007C5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23B"/>
  </w:style>
  <w:style w:type="paragraph" w:styleId="ListParagraph">
    <w:name w:val="List Paragraph"/>
    <w:basedOn w:val="Normal"/>
    <w:uiPriority w:val="34"/>
    <w:qFormat/>
    <w:rsid w:val="009C7C0E"/>
    <w:pPr>
      <w:ind w:left="720"/>
      <w:contextualSpacing/>
    </w:pPr>
  </w:style>
  <w:style w:type="paragraph" w:styleId="FootnoteText">
    <w:name w:val="footnote text"/>
    <w:basedOn w:val="Normal"/>
    <w:link w:val="FootnoteTextChar"/>
    <w:uiPriority w:val="99"/>
    <w:semiHidden/>
    <w:unhideWhenUsed/>
    <w:rsid w:val="009C7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C0E"/>
    <w:rPr>
      <w:sz w:val="20"/>
      <w:szCs w:val="20"/>
    </w:rPr>
  </w:style>
  <w:style w:type="character" w:styleId="FootnoteReference">
    <w:name w:val="footnote reference"/>
    <w:basedOn w:val="DefaultParagraphFont"/>
    <w:semiHidden/>
    <w:unhideWhenUsed/>
    <w:rsid w:val="009C7C0E"/>
    <w:rPr>
      <w:vertAlign w:val="superscript"/>
    </w:rPr>
  </w:style>
  <w:style w:type="character" w:styleId="Hyperlink">
    <w:name w:val="Hyperlink"/>
    <w:basedOn w:val="DefaultParagraphFont"/>
    <w:uiPriority w:val="99"/>
    <w:unhideWhenUsed/>
    <w:rsid w:val="007C6B08"/>
    <w:rPr>
      <w:color w:val="0563C1" w:themeColor="hyperlink"/>
      <w:u w:val="single"/>
    </w:rPr>
  </w:style>
  <w:style w:type="character" w:styleId="UnresolvedMention">
    <w:name w:val="Unresolved Mention"/>
    <w:basedOn w:val="DefaultParagraphFont"/>
    <w:uiPriority w:val="99"/>
    <w:semiHidden/>
    <w:unhideWhenUsed/>
    <w:rsid w:val="007C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ot.spiers@southbank-utc.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A28C6D05DF346906CBBF4681EB3B2" ma:contentTypeVersion="13" ma:contentTypeDescription="Create a new document." ma:contentTypeScope="" ma:versionID="97fa355c811b8a5fd0ff49fea84b670e">
  <xsd:schema xmlns:xsd="http://www.w3.org/2001/XMLSchema" xmlns:xs="http://www.w3.org/2001/XMLSchema" xmlns:p="http://schemas.microsoft.com/office/2006/metadata/properties" xmlns:ns3="270c1c12-3c88-40c6-904f-767e0fad6d38" xmlns:ns4="3886a12f-5c4f-4126-a895-b1619f519d65" targetNamespace="http://schemas.microsoft.com/office/2006/metadata/properties" ma:root="true" ma:fieldsID="3d5c1c4694d4c7c7ac9438614448e610" ns3:_="" ns4:_="">
    <xsd:import namespace="270c1c12-3c88-40c6-904f-767e0fad6d38"/>
    <xsd:import namespace="3886a12f-5c4f-4126-a895-b1619f519d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c1c12-3c88-40c6-904f-767e0fad6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6a12f-5c4f-4126-a895-b1619f519d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012D-54D0-4128-A3A4-A23C1BA775AD}">
  <ds:schemaRefs>
    <ds:schemaRef ds:uri="3886a12f-5c4f-4126-a895-b1619f519d65"/>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 ds:uri="270c1c12-3c88-40c6-904f-767e0fad6d3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456934-240D-4D1D-B116-9BB74B851A20}">
  <ds:schemaRefs>
    <ds:schemaRef ds:uri="http://schemas.microsoft.com/sharepoint/v3/contenttype/forms"/>
  </ds:schemaRefs>
</ds:datastoreItem>
</file>

<file path=customXml/itemProps3.xml><?xml version="1.0" encoding="utf-8"?>
<ds:datastoreItem xmlns:ds="http://schemas.openxmlformats.org/officeDocument/2006/customXml" ds:itemID="{E5F0BF9D-0308-4E9C-892B-7800F8FF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c1c12-3c88-40c6-904f-767e0fad6d38"/>
    <ds:schemaRef ds:uri="3886a12f-5c4f-4126-a895-b1619f519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9CDFD-5702-4B82-A743-D673B80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Kuria</dc:creator>
  <cp:keywords/>
  <dc:description/>
  <cp:lastModifiedBy>Dan Cundy</cp:lastModifiedBy>
  <cp:revision>8</cp:revision>
  <dcterms:created xsi:type="dcterms:W3CDTF">2020-12-18T12:07:00Z</dcterms:created>
  <dcterms:modified xsi:type="dcterms:W3CDTF">2020-12-18T12:13:00Z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0x010100E88A28C6D05DF346906CBBF4681EB3B2</vt:lpwstr>
  </property>
</Properties>
</file>